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center"/>
        <w:rPr>
          <w:rFonts w:ascii="MicrosoftYaHei" w:hAnsi="MicrosoftYaHei" w:eastAsia="MicrosoftYaHei" w:cs="MicrosoftYaHei"/>
          <w:b w:val="0"/>
          <w:i w:val="0"/>
          <w:caps w:val="0"/>
          <w:color w:val="000000"/>
          <w:spacing w:val="0"/>
          <w:sz w:val="18"/>
          <w:szCs w:val="18"/>
        </w:rPr>
      </w:pPr>
      <w:r>
        <w:rPr>
          <w:rFonts w:ascii="黑体" w:hAnsi="宋体" w:eastAsia="黑体" w:cs="黑体"/>
          <w:b w:val="0"/>
          <w:i w:val="0"/>
          <w:caps w:val="0"/>
          <w:color w:val="000000"/>
          <w:spacing w:val="0"/>
          <w:kern w:val="0"/>
          <w:sz w:val="32"/>
          <w:szCs w:val="32"/>
          <w:bdr w:val="none" w:color="auto" w:sz="0" w:space="0"/>
          <w:shd w:val="clear" w:fill="FFFFFF"/>
          <w:lang w:val="en-US" w:eastAsia="zh-CN" w:bidi="ar"/>
        </w:rPr>
        <w:t>对外经济贸易大学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center"/>
        <w:rPr>
          <w:rFonts w:hint="default" w:ascii="MicrosoftYaHei" w:hAnsi="MicrosoftYaHei" w:eastAsia="MicrosoftYaHei" w:cs="MicrosoftYaHei"/>
          <w:b w:val="0"/>
          <w:i w:val="0"/>
          <w:caps w:val="0"/>
          <w:color w:val="000000"/>
          <w:spacing w:val="0"/>
          <w:sz w:val="18"/>
          <w:szCs w:val="18"/>
        </w:rPr>
      </w:pPr>
      <w:bookmarkStart w:id="0" w:name="_GoBack"/>
      <w:r>
        <w:rPr>
          <w:rFonts w:hint="eastAsia" w:ascii="黑体" w:hAnsi="宋体" w:eastAsia="黑体" w:cs="黑体"/>
          <w:b w:val="0"/>
          <w:i w:val="0"/>
          <w:caps w:val="0"/>
          <w:color w:val="000000"/>
          <w:spacing w:val="0"/>
          <w:kern w:val="0"/>
          <w:sz w:val="32"/>
          <w:szCs w:val="32"/>
          <w:bdr w:val="none" w:color="auto" w:sz="0" w:space="0"/>
          <w:shd w:val="clear" w:fill="FFFFFF"/>
          <w:lang w:val="en-US" w:eastAsia="zh-CN" w:bidi="ar"/>
        </w:rPr>
        <w:t>2019年翻译硕士（MTI）（日语口译、朝鲜语口译）招生简章</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bookmarkEnd w:id="0"/>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Fonts w:hint="default" w:ascii="MicrosoftYaHei" w:hAnsi="MicrosoftYaHei" w:eastAsia="MicrosoftYaHei" w:cs="MicrosoftYaHei"/>
          <w:b w:val="0"/>
          <w:i w:val="0"/>
          <w:caps w:val="0"/>
          <w:color w:val="000000"/>
          <w:spacing w:val="0"/>
          <w:kern w:val="0"/>
          <w:sz w:val="18"/>
          <w:szCs w:val="1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一、翻译硕士（MTI）专业学位简介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是教育部“211工程”首批重点建设高校之一，也是我国唯一一所国际经济贸易专业门类齐全的多学科大学。2009年，经国务院学位办批准，对外经济贸易大学正式成为翻译硕士专业学位培养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校外语学院开展翻译教学已有多年的历史，逐步形成了从本科到研究生体系完整的、经贸特色和优势突出的翻译人才培养模式。80年代初我院日语专业就在全国率先设置了“翻译理论与实践”研究生方向。2007年，我院与韩国江南大学开始合作招生亚非语言文学专业中韩同传方向研究生，成为全国首家中外联合培养中韩同声传译研究生的单位。至今已有9届毕业生，培养了一批高素质的中韩同声传译毕业生。经批准，我院自2012年开始招收翻译硕士专业学位研究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院日语系和朝鲜（韩国）语系师资队伍实力雄厚，同时两系聘请多位中外资深专家担任兼职教师。许多教师曾为外国元首和使节来华进行国事访问时提供过口译服务，并出版了大量经贸类译著。此外，经过数十年的翻译理论与实践以及同传研究生的教学培养，积累了丰富的翻译学教学经验。在教学设备方面，我校拥有先进的数字化国际会议同传实训室、同声传译教室和语音实验室、机辅商务翻译实训室，学校图书馆和学院资料室翻译藏书丰富，多媒体视听网络以及其他教学辅助设备先进，为人才培养提供了有力保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二、培养目标与专业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本专业旨在培养具有扎实的外、汉双语基本功和较强的翻译实践能力，了解翻译学、跨文化交际、国际经济、贸易、法律等相关专业知识，能胜任国际组织、跨国公司、政府外事机构等部门的翻译工作，培养国家经济、文化建设和社会发展需要的、具有国际竞争力的高层次、应用型、专业化口笔译人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外语学院翻译硕士专业学位根据市场不同层次需求及学生的实际水平，设专业为：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1、日语口译（专业型）（专业代码055106），同声传译方向，拟招收28人，具体视生源情况增减。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2、朝鲜语口译（专业型）（专业代码055112），同声传译方向，拟招收29人。</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全部课程主要由实践和教学经验丰富的中外教师共同执教。学生修满全部课程、各课程考试合格，同时达到规定的口译实践时数并完成口译实习报告者，可获得MTI硕士学位。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三、报考条件：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1、中华人民共和国公民。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2、拥护中国共产党的领导，愿为社会主义现代化建设服务，品德良好，遵纪守法；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3、考生的学历必须符合下列条件之一：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（1）国家承认学历的应届本科毕业生（2019年9月1日前须取得国家承认的本科毕业证书）；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（2）具有国家承认的大学本科毕业学历的人员；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（3）已获硕士、博士学位的人员；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（4）党校学历除中央党校成人教育学院本科学历（可认证）外，其余的党校学历不能报考。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（5）在境外获得学历（学位）的考生，其学历（学位）证书须通过教育部留学服务中心的认证。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（6）现役军人报考，按解放军总政治部的规定办理。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（7）在校研究生报考，须在报名前征得所在培养单位同意。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4、口译专业一般不超过35周岁；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5、身体健康状况符合国家和我校规定的体检要求；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6、不接受同等学力考生报考，高职高专、本科结业生等不得报考。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四、报名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参看“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begin"/>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instrText xml:space="preserve"> HYPERLINK "http://yjsy.uibe.edu.cn/infoSingleArticle.do?articleId=5159&amp;columnId=2169" \o "" \t "http://yjsy.uibe.edu.cn/_blank" </w:instrTex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rPr>
        <w:t>对外经济贸易大学2019年招收攻读硕士学位研究生章程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”中所述的报名程序。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五、考试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（一）初试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日语翻译硕士的考试科目为：①101-思想政治理论,100分；②213-翻译硕士日语,100分；③359-日语翻译基础,150分；④448-汉语写作与百科知识,150分。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朝鲜语翻译硕士的考试科目为：①101-思想政治理论,100分；②216-翻译硕士朝鲜语,100分；③362-朝鲜语翻译基础,150分；④448-汉语写作与百科知识,150分。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参考书目：213、216、359、362、448科目由我校自主命题，参考书目请查看研究生院主页硕士招生栏目下的专业目录及参考书。购书可与我校出版社读者服务部联系，电话：010-64492338。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初试时间为2018年12月22日-23日（详见准考证通知）。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（二）复试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复试时间一般在4月，复试名单及具体复试要求将在我校研究生院主页上公布，请考生自行查询并下载相关材料。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我校将根据教育部有关考生进入复试的基本要求，结合本年度招生计划和生源质量情况，确定我校复试分数线。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实行差额复试，复试人数一般为计划招生规模的120%左右。具体复试方式以及初试、复试成绩所占权重由各院系根据本学科、专业特点及生源状况确定。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复试不合格考生不予录取。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 复试报到时进行报考资格审查。不符合报考资格条件的考生不得参加复试。对在入学考试中作弊的考生，我校将通报其所在学校或单位，当年作弊的考生下一年度不允许报考，情节严重的，给予暂停参加硕士研究生入学考试3年的处理；对作弊的在校生，将予以直至开除学籍的处罚；作弊的在职考生由考试机构通报其所在单位，由有关部门视情节给予党纪或政纪处分；对于违法者，移交司法机关依法追究刑事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六、体检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体检于复试期间统一进行，新生入学时复检，具体时间另行通知。体检医院为学校校医院。体检标准参照教育部、卫生部的相关规定。</w:t>
      </w:r>
      <w:r>
        <w:rPr>
          <w:rFonts w:ascii="Calibri" w:hAnsi="Calibri" w:eastAsia="MicrosoftYaHei" w:cs="Calibri"/>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七、录取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我校根据国家下达的招生计划，按照考生入学考试的成绩（含初试和复试），结合综合素质以及身体健康状况择优录取。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全日制考生须将人事档案等转入我校，可转户口（除北京地区散居户口外），毕业时按“双向选择”方式落实工作单位。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八、学习方式及年限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全日制翻译硕士学制二年，学校安排住宿。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九、培养和学位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在规定期限内完成培养方案的规定内容，按照对外经济贸易大学研究生学籍管理和学位授予的相关规定，符合条件的，被颁发相应的学历证书，并被授予硕士学位。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十、学费</w:t>
      </w:r>
    </w:p>
    <w:tbl>
      <w:tblPr>
        <w:tblpPr w:vertAnchor="text" w:tblpXSpec="left"/>
        <w:tblW w:w="7684" w:type="dxa"/>
        <w:tblInd w:w="0" w:type="dxa"/>
        <w:shd w:val="clear" w:color="auto" w:fill="FFFFFF"/>
        <w:tblLayout w:type="fixed"/>
        <w:tblCellMar>
          <w:top w:w="0" w:type="dxa"/>
          <w:left w:w="0" w:type="dxa"/>
          <w:bottom w:w="0" w:type="dxa"/>
          <w:right w:w="0" w:type="dxa"/>
        </w:tblCellMar>
      </w:tblPr>
      <w:tblGrid>
        <w:gridCol w:w="1380"/>
        <w:gridCol w:w="1380"/>
        <w:gridCol w:w="1626"/>
        <w:gridCol w:w="3298"/>
      </w:tblGrid>
      <w:tr>
        <w:tblPrEx>
          <w:tblLayout w:type="fixed"/>
          <w:tblCellMar>
            <w:top w:w="0" w:type="dxa"/>
            <w:left w:w="0" w:type="dxa"/>
            <w:bottom w:w="0" w:type="dxa"/>
            <w:right w:w="0" w:type="dxa"/>
          </w:tblCellMar>
        </w:tblPrEx>
        <w:tc>
          <w:tcPr>
            <w:tcW w:w="1380" w:type="dxa"/>
            <w:tcBorders>
              <w:top w:val="single" w:color="auto" w:sz="8" w:space="0"/>
              <w:left w:val="single" w:color="auto" w:sz="8" w:space="0"/>
              <w:bottom w:val="single" w:color="auto" w:sz="8" w:space="0"/>
              <w:right w:val="single" w:color="auto" w:sz="8" w:space="0"/>
            </w:tcBorders>
            <w:shd w:val="clear" w:color="auto" w:fill="FFFFFF"/>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left"/>
            </w:pPr>
            <w:r>
              <w:rPr>
                <w:rFonts w:hint="eastAsia" w:ascii="宋体" w:hAnsi="宋体" w:eastAsia="宋体" w:cs="宋体"/>
                <w:b w:val="0"/>
                <w:i w:val="0"/>
                <w:caps w:val="0"/>
                <w:color w:val="000000"/>
                <w:spacing w:val="0"/>
                <w:kern w:val="0"/>
                <w:sz w:val="24"/>
                <w:szCs w:val="24"/>
                <w:bdr w:val="none" w:color="auto" w:sz="0" w:space="0"/>
                <w:lang w:val="en-US" w:eastAsia="zh-CN" w:bidi="ar"/>
              </w:rPr>
              <w:t>专业</w:t>
            </w:r>
          </w:p>
        </w:tc>
        <w:tc>
          <w:tcPr>
            <w:tcW w:w="1380" w:type="dxa"/>
            <w:tcBorders>
              <w:top w:val="single" w:color="auto" w:sz="8" w:space="0"/>
              <w:left w:val="nil"/>
              <w:bottom w:val="single" w:color="auto" w:sz="8" w:space="0"/>
              <w:right w:val="single" w:color="auto"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left"/>
            </w:pPr>
            <w:r>
              <w:rPr>
                <w:rFonts w:hint="eastAsia" w:ascii="宋体" w:hAnsi="宋体" w:eastAsia="宋体" w:cs="宋体"/>
                <w:b w:val="0"/>
                <w:i w:val="0"/>
                <w:caps w:val="0"/>
                <w:color w:val="000000"/>
                <w:spacing w:val="0"/>
                <w:kern w:val="0"/>
                <w:sz w:val="24"/>
                <w:szCs w:val="24"/>
                <w:bdr w:val="none" w:color="auto" w:sz="0" w:space="0"/>
                <w:lang w:val="en-US" w:eastAsia="zh-CN" w:bidi="ar"/>
              </w:rPr>
              <w:t>学制</w:t>
            </w:r>
          </w:p>
        </w:tc>
        <w:tc>
          <w:tcPr>
            <w:tcW w:w="1626" w:type="dxa"/>
            <w:tcBorders>
              <w:top w:val="single" w:color="auto" w:sz="8" w:space="0"/>
              <w:left w:val="nil"/>
              <w:bottom w:val="single" w:color="auto" w:sz="8" w:space="0"/>
              <w:right w:val="single" w:color="auto"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left"/>
            </w:pPr>
            <w:r>
              <w:rPr>
                <w:rFonts w:hint="eastAsia" w:ascii="宋体" w:hAnsi="宋体" w:eastAsia="宋体" w:cs="宋体"/>
                <w:b w:val="0"/>
                <w:i w:val="0"/>
                <w:caps w:val="0"/>
                <w:color w:val="000000"/>
                <w:spacing w:val="0"/>
                <w:kern w:val="0"/>
                <w:sz w:val="24"/>
                <w:szCs w:val="24"/>
                <w:bdr w:val="none" w:color="auto" w:sz="0" w:space="0"/>
                <w:lang w:val="en-US" w:eastAsia="zh-CN" w:bidi="ar"/>
              </w:rPr>
              <w:t>学费（万元）</w:t>
            </w:r>
          </w:p>
        </w:tc>
        <w:tc>
          <w:tcPr>
            <w:tcW w:w="3298" w:type="dxa"/>
            <w:tcBorders>
              <w:top w:val="single" w:color="auto" w:sz="8" w:space="0"/>
              <w:left w:val="nil"/>
              <w:bottom w:val="single" w:color="auto" w:sz="8" w:space="0"/>
              <w:right w:val="single" w:color="auto"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left"/>
            </w:pPr>
            <w:r>
              <w:rPr>
                <w:rFonts w:hint="eastAsia" w:ascii="宋体" w:hAnsi="宋体" w:eastAsia="宋体" w:cs="宋体"/>
                <w:b w:val="0"/>
                <w:i w:val="0"/>
                <w:caps w:val="0"/>
                <w:color w:val="000000"/>
                <w:spacing w:val="0"/>
                <w:kern w:val="0"/>
                <w:sz w:val="24"/>
                <w:szCs w:val="24"/>
                <w:bdr w:val="none" w:color="auto" w:sz="0" w:space="0"/>
                <w:lang w:val="en-US" w:eastAsia="zh-CN" w:bidi="ar"/>
              </w:rPr>
              <w:t>备注</w:t>
            </w:r>
          </w:p>
        </w:tc>
      </w:tr>
      <w:tr>
        <w:tblPrEx>
          <w:shd w:val="clear" w:color="auto" w:fill="FFFFFF"/>
          <w:tblLayout w:type="fixed"/>
          <w:tblCellMar>
            <w:top w:w="0" w:type="dxa"/>
            <w:left w:w="0" w:type="dxa"/>
            <w:bottom w:w="0" w:type="dxa"/>
            <w:right w:w="0" w:type="dxa"/>
          </w:tblCellMar>
        </w:tblPrEx>
        <w:trPr>
          <w:trHeight w:val="825" w:hRule="atLeast"/>
        </w:trPr>
        <w:tc>
          <w:tcPr>
            <w:tcW w:w="1380" w:type="dxa"/>
            <w:tcBorders>
              <w:top w:val="nil"/>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left"/>
            </w:pPr>
            <w:r>
              <w:rPr>
                <w:rFonts w:hint="eastAsia" w:ascii="宋体" w:hAnsi="宋体" w:eastAsia="宋体" w:cs="宋体"/>
                <w:b w:val="0"/>
                <w:i w:val="0"/>
                <w:caps w:val="0"/>
                <w:color w:val="000000"/>
                <w:spacing w:val="0"/>
                <w:kern w:val="0"/>
                <w:sz w:val="24"/>
                <w:szCs w:val="24"/>
                <w:bdr w:val="none" w:color="auto" w:sz="0" w:space="0"/>
                <w:lang w:val="en-US" w:eastAsia="zh-CN" w:bidi="ar"/>
              </w:rPr>
              <w:t>日语口译</w:t>
            </w:r>
          </w:p>
        </w:tc>
        <w:tc>
          <w:tcPr>
            <w:tcW w:w="1380" w:type="dxa"/>
            <w:vMerge w:val="restart"/>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left"/>
            </w:pPr>
            <w:r>
              <w:rPr>
                <w:rFonts w:hint="eastAsia" w:ascii="宋体" w:hAnsi="宋体" w:eastAsia="宋体" w:cs="宋体"/>
                <w:b w:val="0"/>
                <w:i w:val="0"/>
                <w:caps w:val="0"/>
                <w:color w:val="000000"/>
                <w:spacing w:val="0"/>
                <w:kern w:val="0"/>
                <w:sz w:val="24"/>
                <w:szCs w:val="24"/>
                <w:bdr w:val="none" w:color="auto" w:sz="0" w:space="0"/>
                <w:lang w:val="en-US" w:eastAsia="zh-CN" w:bidi="ar"/>
              </w:rPr>
              <w:t>全日制2年</w:t>
            </w:r>
          </w:p>
        </w:tc>
        <w:tc>
          <w:tcPr>
            <w:tcW w:w="1626"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left"/>
            </w:pPr>
            <w:r>
              <w:rPr>
                <w:rFonts w:hint="eastAsia" w:ascii="宋体" w:hAnsi="宋体" w:eastAsia="宋体" w:cs="宋体"/>
                <w:b w:val="0"/>
                <w:i w:val="0"/>
                <w:caps w:val="0"/>
                <w:color w:val="000000"/>
                <w:spacing w:val="0"/>
                <w:kern w:val="0"/>
                <w:sz w:val="24"/>
                <w:szCs w:val="24"/>
                <w:bdr w:val="none" w:color="auto" w:sz="0" w:space="0"/>
                <w:lang w:val="en-US" w:eastAsia="zh-CN" w:bidi="ar"/>
              </w:rPr>
              <w:t>2年共计6万，分年交纳</w:t>
            </w:r>
          </w:p>
        </w:tc>
        <w:tc>
          <w:tcPr>
            <w:tcW w:w="3298" w:type="dxa"/>
            <w:vMerge w:val="restart"/>
            <w:tcBorders>
              <w:top w:val="nil"/>
              <w:left w:val="nil"/>
              <w:bottom w:val="single" w:color="auto" w:sz="8" w:space="0"/>
              <w:right w:val="single" w:color="auto"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left"/>
            </w:pPr>
            <w:r>
              <w:rPr>
                <w:rFonts w:hint="eastAsia" w:ascii="宋体" w:hAnsi="宋体" w:eastAsia="宋体" w:cs="宋体"/>
                <w:b w:val="0"/>
                <w:i w:val="0"/>
                <w:caps w:val="0"/>
                <w:color w:val="000000"/>
                <w:spacing w:val="0"/>
                <w:kern w:val="0"/>
                <w:sz w:val="24"/>
                <w:szCs w:val="24"/>
                <w:bdr w:val="none" w:color="auto" w:sz="0" w:space="0"/>
                <w:lang w:val="en-US" w:eastAsia="zh-CN" w:bidi="ar"/>
              </w:rPr>
              <w:t>教材、食宿、医疗等其他各项费用自理；学费按学年收取，第一年收取全部学费的一半，第二年缴清全部学费。</w:t>
            </w:r>
          </w:p>
        </w:tc>
      </w:tr>
      <w:tr>
        <w:tblPrEx>
          <w:tblLayout w:type="fixed"/>
          <w:tblCellMar>
            <w:top w:w="0" w:type="dxa"/>
            <w:left w:w="0" w:type="dxa"/>
            <w:bottom w:w="0" w:type="dxa"/>
            <w:right w:w="0" w:type="dxa"/>
          </w:tblCellMar>
        </w:tblPrEx>
        <w:trPr>
          <w:trHeight w:val="734" w:hRule="atLeast"/>
        </w:trPr>
        <w:tc>
          <w:tcPr>
            <w:tcW w:w="1380" w:type="dxa"/>
            <w:tcBorders>
              <w:top w:val="nil"/>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left"/>
            </w:pPr>
            <w:r>
              <w:rPr>
                <w:rFonts w:hint="eastAsia" w:ascii="宋体" w:hAnsi="宋体" w:eastAsia="宋体" w:cs="宋体"/>
                <w:b w:val="0"/>
                <w:i w:val="0"/>
                <w:caps w:val="0"/>
                <w:color w:val="000000"/>
                <w:spacing w:val="0"/>
                <w:kern w:val="0"/>
                <w:sz w:val="24"/>
                <w:szCs w:val="24"/>
                <w:bdr w:val="none" w:color="auto" w:sz="0" w:space="0"/>
                <w:lang w:val="en-US" w:eastAsia="zh-CN" w:bidi="ar"/>
              </w:rPr>
              <w:t>朝鲜语口译</w:t>
            </w:r>
          </w:p>
        </w:tc>
        <w:tc>
          <w:tcPr>
            <w:tcW w:w="1380" w:type="dxa"/>
            <w:vMerge w:val="continue"/>
            <w:tcBorders>
              <w:top w:val="nil"/>
              <w:left w:val="nil"/>
              <w:bottom w:val="single" w:color="auto" w:sz="8" w:space="0"/>
              <w:right w:val="single" w:color="auto" w:sz="8" w:space="0"/>
            </w:tcBorders>
            <w:shd w:val="clear" w:color="auto" w:fill="FFFFFF"/>
            <w:tcMar>
              <w:left w:w="108" w:type="dxa"/>
              <w:right w:w="108" w:type="dxa"/>
            </w:tcMar>
            <w:vAlign w:val="center"/>
          </w:tcPr>
          <w:p>
            <w:pPr>
              <w:jc w:val="center"/>
              <w:rPr>
                <w:rFonts w:hint="default" w:ascii="MicrosoftYaHei" w:hAnsi="MicrosoftYaHei" w:eastAsia="MicrosoftYaHei" w:cs="MicrosoftYaHei"/>
                <w:b w:val="0"/>
                <w:i w:val="0"/>
                <w:caps w:val="0"/>
                <w:color w:val="000000"/>
                <w:spacing w:val="0"/>
                <w:sz w:val="18"/>
                <w:szCs w:val="18"/>
              </w:rPr>
            </w:pPr>
          </w:p>
        </w:tc>
        <w:tc>
          <w:tcPr>
            <w:tcW w:w="1626"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left"/>
            </w:pPr>
            <w:r>
              <w:rPr>
                <w:rFonts w:hint="eastAsia" w:ascii="宋体" w:hAnsi="宋体" w:eastAsia="宋体" w:cs="宋体"/>
                <w:b w:val="0"/>
                <w:i w:val="0"/>
                <w:caps w:val="0"/>
                <w:color w:val="000000"/>
                <w:spacing w:val="0"/>
                <w:kern w:val="0"/>
                <w:sz w:val="24"/>
                <w:szCs w:val="24"/>
                <w:bdr w:val="none" w:color="auto" w:sz="0" w:space="0"/>
                <w:lang w:val="en-US" w:eastAsia="zh-CN" w:bidi="ar"/>
              </w:rPr>
              <w:t>2年共计5万，分年交纳</w:t>
            </w:r>
          </w:p>
        </w:tc>
        <w:tc>
          <w:tcPr>
            <w:tcW w:w="3298" w:type="dxa"/>
            <w:vMerge w:val="continue"/>
            <w:tcBorders>
              <w:top w:val="nil"/>
              <w:left w:val="nil"/>
              <w:bottom w:val="single" w:color="auto" w:sz="8" w:space="0"/>
              <w:right w:val="single" w:color="auto" w:sz="8" w:space="0"/>
            </w:tcBorders>
            <w:shd w:val="clear" w:color="auto" w:fill="FFFFFF"/>
            <w:tcMar>
              <w:left w:w="108" w:type="dxa"/>
              <w:right w:w="108" w:type="dxa"/>
            </w:tcMar>
            <w:vAlign w:val="top"/>
          </w:tcPr>
          <w:p>
            <w:pPr>
              <w:jc w:val="center"/>
              <w:rPr>
                <w:rFonts w:hint="default" w:ascii="MicrosoftYaHei" w:hAnsi="MicrosoftYaHei" w:eastAsia="MicrosoftYaHei" w:cs="MicrosoftYaHei"/>
                <w:b w:val="0"/>
                <w:i w:val="0"/>
                <w:caps w:val="0"/>
                <w:color w:val="000000"/>
                <w:spacing w:val="0"/>
                <w:sz w:val="18"/>
                <w:szCs w:val="18"/>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Fonts w:ascii="微软雅黑" w:hAnsi="微软雅黑" w:eastAsia="微软雅黑" w:cs="微软雅黑"/>
          <w:b w:val="0"/>
          <w:i w:val="0"/>
          <w:caps w:val="0"/>
          <w:color w:val="000000"/>
          <w:spacing w:val="0"/>
          <w:kern w:val="0"/>
          <w:sz w:val="18"/>
          <w:szCs w:val="1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十一、其他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达到国家复试标准，但未达到我校复试线的考生，应联系调剂单位。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考生与所在单位因报考研究生产生的问题由考生自行处理。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本招生简章的最终解释权归研究生院。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本简章内容如与教育主管部门下达文件不符的，以教育主管部门下达的文件为准。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2"/>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十二、招生咨询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对外经济贸易大学硕士生研究生招生专业目录、参考书目及有关注意事项可登录研究生院主页（yjsy.uibe.edu.cn）查询。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咨询电话：010-64492151；010-64495202(fax)</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电子邮件：yzb@uibe.edu.cn</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通讯地址：北京市朝阳区惠新东街10号对外经济贸易大学86号信箱研招办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邮政编码：100029</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righ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对外经济贸易大学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righ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研究生招生办公室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righ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2018年9月</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MicrosoftYaHei">
    <w:altName w:val="魂心"/>
    <w:panose1 w:val="00000000000000000000"/>
    <w:charset w:val="00"/>
    <w:family w:val="auto"/>
    <w:pitch w:val="default"/>
    <w:sig w:usb0="00000000" w:usb1="00000000" w:usb2="00000000" w:usb3="00000000" w:csb0="00000000" w:csb1="00000000"/>
  </w:font>
  <w:font w:name="魂心">
    <w:panose1 w:val="02000009000000000000"/>
    <w:charset w:val="00"/>
    <w:family w:val="auto"/>
    <w:pitch w:val="default"/>
    <w:sig w:usb0="A1007AEF" w:usb1="F9DF7CFB" w:usb2="0000001E" w:usb3="00000000" w:csb0="20020000" w:csb1="00000000"/>
  </w:font>
  <w:font w:name="黑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0B1D6A"/>
    <w:rsid w:val="5E0B1D6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2018-09-18T09:51:00Z</dcterms:created>
  <dc:creator>Zlh</dc:creator>
  <cp:lastModifiedBy>Zlh</cp:lastModifiedBy>
  <dcterms:modified xsi:type="dcterms:W3CDTF">2018-09-18T09:52:18Z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